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81" w:rsidRDefault="00C94212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165100</wp:posOffset>
            </wp:positionH>
            <wp:positionV relativeFrom="paragraph">
              <wp:posOffset>635</wp:posOffset>
            </wp:positionV>
            <wp:extent cx="6391275" cy="6965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3781" w:rsidRDefault="00013781">
      <w:pPr>
        <w:spacing w:after="0"/>
        <w:ind w:firstLine="709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013781" w:rsidRDefault="00013781">
      <w:pPr>
        <w:spacing w:after="0"/>
        <w:ind w:firstLine="709"/>
        <w:jc w:val="center"/>
        <w:rPr>
          <w:rFonts w:ascii="Merriweather" w:eastAsia="Merriweather" w:hAnsi="Merriweather" w:cs="Merriweather"/>
          <w:b/>
          <w:sz w:val="28"/>
          <w:szCs w:val="28"/>
        </w:rPr>
      </w:pPr>
    </w:p>
    <w:p w:rsidR="00013781" w:rsidRDefault="00C94212">
      <w:pPr>
        <w:spacing w:after="0"/>
        <w:ind w:firstLine="709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აგრარული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ფაკულტეტი</w:t>
      </w:r>
    </w:p>
    <w:p w:rsidR="00013781" w:rsidRDefault="00013781">
      <w:pPr>
        <w:spacing w:after="0"/>
        <w:ind w:firstLine="709"/>
        <w:jc w:val="center"/>
        <w:rPr>
          <w:rFonts w:ascii="Merriweather" w:eastAsia="Merriweather" w:hAnsi="Merriweather" w:cs="Merriweather"/>
          <w:b/>
          <w:sz w:val="28"/>
          <w:szCs w:val="28"/>
          <w:u w:val="single"/>
        </w:rPr>
      </w:pPr>
    </w:p>
    <w:p w:rsidR="00013781" w:rsidRDefault="00013781">
      <w:pPr>
        <w:spacing w:after="0"/>
        <w:rPr>
          <w:rFonts w:ascii="Merriweather" w:eastAsia="Merriweather" w:hAnsi="Merriweather" w:cs="Merriweather"/>
          <w:b/>
          <w:sz w:val="28"/>
          <w:szCs w:val="28"/>
        </w:rPr>
      </w:pPr>
    </w:p>
    <w:p w:rsidR="00013781" w:rsidRDefault="00013781">
      <w:pPr>
        <w:spacing w:after="0"/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"/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5103"/>
      </w:tblGrid>
      <w:tr w:rsidR="00013781">
        <w:trPr>
          <w:trHeight w:val="1160"/>
        </w:trPr>
        <w:tc>
          <w:tcPr>
            <w:tcW w:w="5104" w:type="dxa"/>
          </w:tcPr>
          <w:p w:rsidR="00013781" w:rsidRDefault="00C94212">
            <w:pPr>
              <w:spacing w:after="0"/>
              <w:ind w:left="1740" w:hanging="174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„</w:t>
            </w:r>
            <w:r>
              <w:rPr>
                <w:rFonts w:ascii="Arial Unicode MS" w:eastAsia="Arial Unicode MS" w:hAnsi="Arial Unicode MS" w:cs="Arial Unicode MS"/>
                <w:b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</w:rPr>
              <w:t>“</w:t>
            </w:r>
          </w:p>
          <w:p w:rsidR="00013781" w:rsidRDefault="00013781">
            <w:pPr>
              <w:spacing w:after="0"/>
              <w:ind w:left="1740" w:hanging="1740"/>
              <w:jc w:val="center"/>
              <w:rPr>
                <w:rFonts w:ascii="Merriweather" w:eastAsia="Merriweather" w:hAnsi="Merriweather" w:cs="Merriweather"/>
                <w:b/>
              </w:rPr>
            </w:pPr>
          </w:p>
          <w:p w:rsidR="00013781" w:rsidRDefault="00C94212">
            <w:pPr>
              <w:spacing w:after="0"/>
              <w:ind w:left="2264" w:hanging="2369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რექტორი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---------------    </w:t>
            </w:r>
            <w:r>
              <w:rPr>
                <w:rFonts w:ascii="Arial Unicode MS" w:eastAsia="Arial Unicode MS" w:hAnsi="Arial Unicode MS" w:cs="Arial Unicode MS"/>
                <w:b/>
              </w:rPr>
              <w:t>პროფ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</w:rPr>
              <w:t>გიორგი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</w:rPr>
              <w:t>ღავთაძე</w:t>
            </w:r>
            <w:proofErr w:type="spellEnd"/>
          </w:p>
          <w:p w:rsidR="00013781" w:rsidRDefault="00013781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</w:p>
          <w:p w:rsidR="00013781" w:rsidRDefault="00C94212">
            <w:pPr>
              <w:spacing w:after="0"/>
              <w:ind w:left="923" w:hanging="923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№1. 15, 09  2017</w:t>
            </w:r>
          </w:p>
          <w:p w:rsidR="00013781" w:rsidRDefault="00013781">
            <w:pPr>
              <w:spacing w:after="0"/>
              <w:ind w:left="923" w:hanging="923"/>
              <w:rPr>
                <w:rFonts w:ascii="Merriweather" w:eastAsia="Merriweather" w:hAnsi="Merriweather" w:cs="Merriweather"/>
                <w:b/>
              </w:rPr>
            </w:pPr>
          </w:p>
          <w:p w:rsidR="00013781" w:rsidRDefault="00013781">
            <w:pPr>
              <w:spacing w:after="0"/>
              <w:ind w:firstLine="709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3" w:type="dxa"/>
          </w:tcPr>
          <w:p w:rsidR="00013781" w:rsidRDefault="00013781">
            <w:pPr>
              <w:spacing w:after="0"/>
              <w:ind w:firstLine="709"/>
              <w:jc w:val="both"/>
              <w:rPr>
                <w:rFonts w:ascii="Merriweather" w:eastAsia="Merriweather" w:hAnsi="Merriweather" w:cs="Merriweather"/>
              </w:rPr>
            </w:pPr>
          </w:p>
          <w:p w:rsidR="00013781" w:rsidRDefault="00013781">
            <w:pPr>
              <w:spacing w:after="0"/>
              <w:ind w:firstLine="709"/>
              <w:jc w:val="both"/>
              <w:rPr>
                <w:rFonts w:ascii="Merriweather" w:eastAsia="Merriweather" w:hAnsi="Merriweather" w:cs="Merriweather"/>
              </w:rPr>
            </w:pPr>
          </w:p>
          <w:p w:rsidR="00013781" w:rsidRDefault="00013781">
            <w:pPr>
              <w:spacing w:after="0"/>
              <w:ind w:firstLine="709"/>
              <w:jc w:val="both"/>
              <w:rPr>
                <w:rFonts w:ascii="Merriweather" w:eastAsia="Merriweather" w:hAnsi="Merriweather" w:cs="Merriweather"/>
              </w:rPr>
            </w:pPr>
          </w:p>
          <w:p w:rsidR="00013781" w:rsidRDefault="00013781">
            <w:pPr>
              <w:spacing w:after="0"/>
              <w:ind w:firstLine="709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103" w:type="dxa"/>
          </w:tcPr>
          <w:p w:rsidR="00013781" w:rsidRDefault="00C94212">
            <w:pPr>
              <w:spacing w:after="0"/>
              <w:ind w:left="1740" w:hanging="174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„</w:t>
            </w:r>
            <w:r>
              <w:rPr>
                <w:rFonts w:ascii="Arial Unicode MS" w:eastAsia="Arial Unicode MS" w:hAnsi="Arial Unicode MS" w:cs="Arial Unicode MS"/>
                <w:b/>
              </w:rPr>
              <w:t>დამტკიცებულია</w:t>
            </w:r>
            <w:r>
              <w:rPr>
                <w:rFonts w:ascii="Arial Unicode MS" w:eastAsia="Arial Unicode MS" w:hAnsi="Arial Unicode MS" w:cs="Arial Unicode MS"/>
                <w:b/>
              </w:rPr>
              <w:t>“</w:t>
            </w:r>
          </w:p>
          <w:p w:rsidR="00013781" w:rsidRDefault="00013781">
            <w:pPr>
              <w:spacing w:after="0"/>
              <w:ind w:firstLine="709"/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013781" w:rsidRDefault="00C94212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</w:rPr>
              <w:t>დეკანი</w:t>
            </w:r>
          </w:p>
          <w:p w:rsidR="00013781" w:rsidRDefault="00C94212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 -----------–––––   </w:t>
            </w:r>
            <w:r>
              <w:rPr>
                <w:rFonts w:ascii="Arial Unicode MS" w:eastAsia="Arial Unicode MS" w:hAnsi="Arial Unicode MS" w:cs="Arial Unicode MS"/>
                <w:b/>
              </w:rPr>
              <w:t>პროფ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</w:rPr>
              <w:t>ქეთევან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კინწურაშვილი</w:t>
            </w:r>
          </w:p>
          <w:p w:rsidR="00013781" w:rsidRDefault="00C94212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</w:rPr>
              <w:t>საბჭოს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</w:rPr>
              <w:t>სხდომის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013781" w:rsidRDefault="00C94212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ოქმი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№</w:t>
            </w: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2. 08. 09. 2017</w:t>
            </w:r>
          </w:p>
          <w:p w:rsidR="00013781" w:rsidRDefault="00013781">
            <w:pPr>
              <w:spacing w:after="0"/>
              <w:ind w:firstLine="709"/>
              <w:jc w:val="center"/>
              <w:rPr>
                <w:rFonts w:ascii="Merriweather" w:eastAsia="Merriweather" w:hAnsi="Merriweather" w:cs="Merriweather"/>
              </w:rPr>
            </w:pPr>
          </w:p>
        </w:tc>
      </w:tr>
    </w:tbl>
    <w:p w:rsidR="00013781" w:rsidRDefault="00013781">
      <w:pPr>
        <w:spacing w:after="0"/>
        <w:rPr>
          <w:rFonts w:ascii="Merriweather" w:eastAsia="Merriweather" w:hAnsi="Merriweather" w:cs="Merriweather"/>
        </w:rPr>
      </w:pPr>
    </w:p>
    <w:p w:rsidR="00013781" w:rsidRDefault="00013781">
      <w:pPr>
        <w:spacing w:after="0"/>
        <w:jc w:val="both"/>
        <w:rPr>
          <w:rFonts w:ascii="Merriweather" w:eastAsia="Merriweather" w:hAnsi="Merriweather" w:cs="Merriweather"/>
        </w:rPr>
      </w:pP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საბაკალავრო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პროგრამა</w:t>
      </w: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</w:rPr>
        <w:t>აგროინჟინერია</w:t>
      </w:r>
      <w:proofErr w:type="spellEnd"/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( AENB )</w:t>
      </w:r>
    </w:p>
    <w:p w:rsidR="00013781" w:rsidRDefault="00013781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Bachelors</w:t>
      </w:r>
      <w:proofErr w:type="spellEnd"/>
      <w:r>
        <w:rPr>
          <w:rFonts w:ascii="Merriweather" w:eastAsia="Merriweather" w:hAnsi="Merriweather" w:cs="Merriweather"/>
          <w:b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program</w:t>
      </w:r>
      <w:proofErr w:type="spellEnd"/>
      <w:r>
        <w:rPr>
          <w:rFonts w:ascii="Merriweather" w:eastAsia="Merriweather" w:hAnsi="Merriweather" w:cs="Merriweather"/>
          <w:b/>
          <w:sz w:val="28"/>
          <w:szCs w:val="28"/>
        </w:rPr>
        <w:t xml:space="preserve"> „</w:t>
      </w:r>
      <w:proofErr w:type="spellStart"/>
      <w:r>
        <w:rPr>
          <w:rFonts w:ascii="Merriweather" w:eastAsia="Merriweather" w:hAnsi="Merriweather" w:cs="Merriweather"/>
          <w:b/>
          <w:sz w:val="28"/>
          <w:szCs w:val="28"/>
        </w:rPr>
        <w:t>Agro</w:t>
      </w:r>
      <w:proofErr w:type="spellEnd"/>
      <w:r>
        <w:rPr>
          <w:rFonts w:ascii="Merriweather" w:eastAsia="Merriweather" w:hAnsi="Merriweather" w:cs="Merriweather"/>
          <w:b/>
          <w:sz w:val="28"/>
          <w:szCs w:val="28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8"/>
          <w:szCs w:val="28"/>
        </w:rPr>
        <w:t>Engineering</w:t>
      </w:r>
      <w:proofErr w:type="spellEnd"/>
      <w:r>
        <w:rPr>
          <w:rFonts w:ascii="Merriweather" w:eastAsia="Merriweather" w:hAnsi="Merriweather" w:cs="Merriweather"/>
          <w:b/>
          <w:sz w:val="28"/>
          <w:szCs w:val="28"/>
        </w:rPr>
        <w:t>“</w:t>
      </w:r>
    </w:p>
    <w:p w:rsidR="00013781" w:rsidRDefault="00C94212">
      <w:pPr>
        <w:tabs>
          <w:tab w:val="left" w:pos="2115"/>
        </w:tabs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პროგრამის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ხელმძღვანელი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ემზარ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კილასონია</w:t>
      </w:r>
    </w:p>
    <w:p w:rsidR="00013781" w:rsidRDefault="00C94212">
      <w:pPr>
        <w:tabs>
          <w:tab w:val="left" w:pos="2115"/>
        </w:tabs>
        <w:rPr>
          <w:rFonts w:ascii="Merriweather" w:eastAsia="Merriweather" w:hAnsi="Merriweather" w:cs="Merriweather"/>
          <w:b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აგროინჟინერიის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დოქტორი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ასოცირებული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პროფესორი</w:t>
      </w:r>
    </w:p>
    <w:p w:rsidR="00013781" w:rsidRDefault="00C94212">
      <w:pPr>
        <w:tabs>
          <w:tab w:val="left" w:pos="2115"/>
        </w:tabs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საკონტაქტო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ტელეფონი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   591-298-425;  </w:t>
      </w:r>
    </w:p>
    <w:p w:rsidR="00013781" w:rsidRDefault="00013781">
      <w:pPr>
        <w:tabs>
          <w:tab w:val="left" w:pos="4020"/>
        </w:tabs>
        <w:rPr>
          <w:rFonts w:ascii="Merriweather" w:eastAsia="Merriweather" w:hAnsi="Merriweather" w:cs="Merriweather"/>
          <w:b/>
        </w:rPr>
      </w:pP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b/>
        </w:rPr>
        <w:t>ქუთაისი</w:t>
      </w: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lastRenderedPageBreak/>
        <w:t>2017</w:t>
      </w:r>
    </w:p>
    <w:p w:rsidR="00013781" w:rsidRDefault="00013781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</w:p>
    <w:p w:rsidR="00013781" w:rsidRDefault="00C94212">
      <w:pPr>
        <w:tabs>
          <w:tab w:val="left" w:pos="4020"/>
        </w:tabs>
        <w:jc w:val="center"/>
        <w:rPr>
          <w:rFonts w:ascii="Merriweather" w:eastAsia="Merriweather" w:hAnsi="Merriweather" w:cs="Merriweather"/>
          <w:b/>
        </w:rPr>
      </w:pPr>
      <w:proofErr w:type="spellStart"/>
      <w:r>
        <w:rPr>
          <w:rFonts w:ascii="Arial Unicode MS" w:eastAsia="Arial Unicode MS" w:hAnsi="Arial Unicode MS" w:cs="Arial Unicode MS"/>
          <w:b/>
        </w:rPr>
        <w:t>კურიკულუმი</w:t>
      </w:r>
      <w:proofErr w:type="spellEnd"/>
    </w:p>
    <w:tbl>
      <w:tblPr>
        <w:tblStyle w:val="a0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79"/>
        <w:gridCol w:w="7371"/>
      </w:tblGrid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990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აგროინჟინერია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„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Agro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Engineering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“</w:t>
            </w:r>
          </w:p>
          <w:p w:rsidR="00013781" w:rsidRDefault="00C94212">
            <w:pPr>
              <w:tabs>
                <w:tab w:val="left" w:pos="990"/>
              </w:tabs>
              <w:spacing w:after="0" w:line="240" w:lineRule="auto"/>
              <w:ind w:left="-12" w:hanging="12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მოდული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მექანიზაცია</w:t>
            </w:r>
          </w:p>
          <w:p w:rsidR="00013781" w:rsidRDefault="00C94212">
            <w:pPr>
              <w:tabs>
                <w:tab w:val="left" w:pos="1425"/>
              </w:tabs>
              <w:spacing w:after="0" w:line="240" w:lineRule="auto"/>
              <w:ind w:left="-12" w:hanging="12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მოდული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მისანიჭებელიაკადემიურიხარისხი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99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აგროინჟინერიის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აგრარული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ფაკულტეტი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კოორდინატორი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211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ემზარ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კილასონია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აგროინჟინერიის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დოქტორი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ასოცირებული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ტელ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 591 29 84 25;  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ფოსტა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rFonts w:ascii="Merriweather" w:eastAsia="Merriweather" w:hAnsi="Merriweather" w:cs="Merriweather"/>
                  <w:color w:val="0000FF"/>
                  <w:sz w:val="20"/>
                  <w:szCs w:val="20"/>
                  <w:u w:val="single"/>
                </w:rPr>
                <w:t>emzari.kilasonia@atsu.edu.ge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პროგრამისხანგრძლივობა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მოცულობა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კრედიტებისრაოდენობა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99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240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(8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სემესტრი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013781" w:rsidRDefault="00C94212">
            <w:pPr>
              <w:tabs>
                <w:tab w:val="left" w:pos="990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major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180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კრედიტი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</w:p>
          <w:p w:rsidR="00013781" w:rsidRDefault="00C94212">
            <w:pPr>
              <w:tabs>
                <w:tab w:val="left" w:pos="2340"/>
              </w:tabs>
              <w:spacing w:after="0" w:line="240" w:lineRule="auto"/>
              <w:ind w:left="2160" w:hanging="216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minor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013781" w:rsidRDefault="00C94212">
            <w:pPr>
              <w:tabs>
                <w:tab w:val="left" w:pos="2340"/>
              </w:tabs>
              <w:spacing w:after="0" w:line="240" w:lineRule="auto"/>
              <w:ind w:left="2160" w:hanging="216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აგროინჟინერია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- 60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კრედიტი</w:t>
            </w:r>
          </w:p>
          <w:p w:rsidR="00013781" w:rsidRDefault="00C94212">
            <w:pPr>
              <w:tabs>
                <w:tab w:val="left" w:pos="2340"/>
              </w:tabs>
              <w:spacing w:after="0" w:line="240" w:lineRule="auto"/>
              <w:ind w:left="2160" w:hanging="216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აგროლოჯისტიკური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– 60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კრედიტი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სწავლებისენა</w:t>
            </w:r>
            <w:proofErr w:type="spellEnd"/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ქართული</w:t>
            </w:r>
          </w:p>
        </w:tc>
      </w:tr>
      <w:tr w:rsidR="00013781">
        <w:tc>
          <w:tcPr>
            <w:tcW w:w="3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პროგრამისშემუშავებისა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განახლებისთარიღები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2010-2011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წელს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აკრედიტაცია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გაიარა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2011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16.09.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№28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პროგრამაზედაშვებისწინაპირობები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მოთხოვნები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</w:t>
            </w:r>
          </w:p>
        </w:tc>
      </w:tr>
      <w:tr w:rsidR="00013781">
        <w:trPr>
          <w:trHeight w:val="1180"/>
        </w:trPr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ind w:left="180"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საბაკალავრო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შეიძლება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გახდეს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ნებისმიერი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რომელსაც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ჩაბარებული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ეროვნული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სერთიფიკატი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რეგისტრაციას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გაივლის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დაწყების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ქვეყნის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მოქალაქე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კანონმდებლობით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მიზნები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მიზანია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მისცეს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შეძენილი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ჰქონდეს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სოციალურა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მნიშვნელოვანი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შეძლოს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ეკოლოგიური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დამუშავების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ფლობდეს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შეგროვების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შენახვისა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დამუშავების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კომპიუტერულ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მიზანია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მისცეს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ღრმა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მართვაში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მისცეს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ტრანსპორტის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წინაშე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დასახული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ამოცანების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გადაჭრის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რაოდენობრივად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ხარისხობრივად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მზარდი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ეფექტიან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გამოყენებას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დანერგვას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აგროინჟინერიის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მოღვაწეობისა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კონკურენტუნარიან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ჩამოყალიბებისათვის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ორიენტირებული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ყურადღება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ექცევა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შერწყმას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</w:t>
            </w:r>
          </w:p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</w:t>
            </w:r>
          </w:p>
        </w:tc>
      </w:tr>
      <w:tr w:rsidR="00013781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გაცნობიერება</w:t>
            </w:r>
          </w:p>
          <w:p w:rsidR="00013781" w:rsidRDefault="0001378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ფართო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გააზრებას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გაცნობიერებას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იცნობს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ტენდენციებს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შესწავლილი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ტრაქტორების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ავტომ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ობილების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კონსტრუქციები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ექსპლუატაციის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თავისებურებები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მოვლა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მოყვანისა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შლეიფი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მეცხოველეობის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მექანიზაცი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სამელიორაციო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კონსტრუქციები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მცირე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აქტუალობა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აუცილებლობა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მეურნეობრიობის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მრავალფორმიანობის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ეფექტურად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ხერხები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სამანქანო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სატრაქტორო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აგრეგატების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რეგულირების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სერვისისა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საიმედოდ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დაგეგმვისა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დატვირთვა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განტვირთვის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კოორდინაციისა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დაგეგმვისას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ლოჯისტიკის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მონიტორინგის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ექსპედირების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ექსპლუატაციის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შრომისა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დამახასიათებელი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ზოგიერთი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გამორჩეული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გადასაჭრელად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ხასიათის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წინასწარ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მითითებების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ენერგეტიკული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სამანქ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სატრაქტორო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აგრეგატის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შემადგენლობის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გაანგარიშება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ნატურაში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აგრეგატის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ოპტიმალური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საექსპლუატაციო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მაჩვენებლების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გაანგარიშება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აღრიცხვა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ოპტიმალური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კინემატიკური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პარამეტრების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შერჩება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სამანქანო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სატრაქტორო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აგრეგატებ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ექსპლუატაციისას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დანახარჯების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გაანგარიშება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დაპროექტება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ერთწლიანი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მრავალწლიანი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კულტურების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მოვლა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მოყვანისა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სამანქანო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კონკრეტული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ტრანსპორტის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აგეგმვა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ფერმერულ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მცირე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მაქანიზაციის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საშუალებების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სერვისითა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საიმედოდ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დანიშნულების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რაციონალური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სქემების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დამუშავება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ორგანიზაციასთან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დაკავშირებული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დატვირთვა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განტვირთვის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დამტვირთავი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შერჩევა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ექსპლუატაციის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ოპერა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მონიტორინგის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შემუშავება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ექსპედირების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დაგეგმვა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ორგანიზაცია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  <w:p w:rsidR="00013781" w:rsidRDefault="0001378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დამახასიათებელი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მონაცემების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შეგროვება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განმარტება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განყენებული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მონაცემებისა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სტანდარტული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ზოგიერთი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გამორჩეული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დასაბუთებული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ჩამოყალიბება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საპროე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მოღვაწეობა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პრინციპები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მოვლენების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აღწერისა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პროგნოზირებისათვის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რაოდენობრივი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განსხვავებულ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წარმოქმნილი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გადასაჭრელად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ცნობილი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წყაროებით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სარგებლობა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ხელმძღვანელის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მითითებების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გარეშე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გამოვლენილი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გადაწყვეტა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805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ზეპირი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წერილობითი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სპეციალობასთან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დაკავშირებულ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პრობლე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იყენებს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თვალსაზრისით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სპაციალობასთან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დაკავშირებულ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კოლეგებთან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განაწილების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თაობაზე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გაცვლის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ობლემების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მოგვარების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მიზნით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შესახებ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დოკუმენტაციის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ინსტრუქციების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შენიშვნების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გაგება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გეგმისა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ანგარიშის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მომხმარებელთან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დამქირავებელთან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ელემენტერუ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ენაზე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კომუნიკაციური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ეფექტური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სამსახურებრივი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კოლეგებთან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სფეროს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წარმომადგენელ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ურთიერთობის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325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უნარი</w:t>
            </w:r>
          </w:p>
        </w:tc>
        <w:tc>
          <w:tcPr>
            <w:tcW w:w="8050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თანმიმ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დევრულად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მრავალმხრივად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შემდგომი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საჭიროებების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განვითარების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ცვლილების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პირობებში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დაგროვილი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გამოცდილებებისა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კრიტიკულად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უნარი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შეუძლია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საკუთარი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შესაძლებლობების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საფუძველზე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ახალი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შეძენა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თანამედროვე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ტექნოლოგიების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</w:p>
        </w:tc>
      </w:tr>
      <w:tr w:rsidR="00013781">
        <w:tc>
          <w:tcPr>
            <w:tcW w:w="3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ღირებულებები</w:t>
            </w:r>
          </w:p>
        </w:tc>
        <w:tc>
          <w:tcPr>
            <w:tcW w:w="805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ფორმირების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მონაწილეობა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დასამკვიდრებლად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სწრაფვა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ღირებულებების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შესაფასებლად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კრიტიკულ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არაპროგნოზირებად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შესრულებისას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იცავს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საქმიანობისადმი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დაწესებულ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ეთიკურ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უსაფრთხოების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ნორმებს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უზიარებს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კოლეგებს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ფლობს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ფიზიკური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თვითსრულყოფის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ჩვევებს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პუნქტუალური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მოწესრიგებული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არეგულირებს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კოლეგებთან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საზოგადოებასთან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ურთიერთობებს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მეთოდები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მეთოდებია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შესაძლებელია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გამოყენებული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იქნას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აქტიური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დისკუსია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კითხვა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სესია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დებატი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ზეპირი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გამოკითხვა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პრეზენტაცია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ქვიზი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ინდუქციური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დედუქციური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განხილვები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სიტუაციების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გარჩევები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სალექციო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მიმართულია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დონის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ამაღლებისაკენ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საკითხების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გადმოცემა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ლექციაზე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საპრეტენზაციო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სხვა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თვალსაჩინო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უტარდებ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ჯგუფში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მეცადინეობები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უწყობს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აზროვნების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ჩამოყალიბებას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ჩვევების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გამომუშავებას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იყენებენ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შემდეგ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მისაღწევად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მეთოდებია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სააუდიტორო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ლექციაზე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მეცადინეობებზე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დასწრება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სტრუქტურა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იხ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დანართი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კრიტერიუმები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მიღწევების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საქართველოს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განათლებისა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მეცნიერების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მინისტრის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2007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იანვრის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>№3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2016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აგვისტოს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№102/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cadNusx" w:eastAsia="AcadNusx" w:hAnsi="AcadNusx" w:cs="AcadNusx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ბრძანებებით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პუნქტების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წერეთლს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არსებული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შეიცვალა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დადგენილება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№45 (16/17)  30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ივნისი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20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),</w:t>
            </w:r>
          </w:p>
          <w:p w:rsidR="00013781" w:rsidRDefault="00C9421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013781" w:rsidRDefault="00C94212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საერთო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(100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ხვედრითი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წილი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მხრივ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შემდეგი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013781" w:rsidRDefault="00C94212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აქტივობა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სემესტრის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განმავლობაში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მოიცავს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კომპონენტებს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  <w:p w:rsidR="00013781" w:rsidRDefault="00C94212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- 30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;</w:t>
            </w:r>
          </w:p>
          <w:p w:rsidR="00013781" w:rsidRDefault="00C94212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- 40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013781" w:rsidRDefault="00C94212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რომელის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კომპეტენციის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ჯამურად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შეადგენს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18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სისტემა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უშვებს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ხუთი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დადებით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(A)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ფრიადი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91-1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00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B)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ძალიან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81-90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კარგი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71-80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(D)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დამაკმაყოფილებელი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61-70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ე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(E)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51-60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ორი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უარყო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ფით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(FX)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ვერ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ჩააბარა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41-50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ჩასაბარებლად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სჭირდება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ეძლევა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დამოუკიდებელი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ერთხელ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გასვლის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;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(F)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ჩაიჭრა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მაქსიმალური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ნაკლები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რაც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ნიშნავს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საკმარისი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ახლიდან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აქვს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შესასწავლი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ind w:left="10" w:right="98"/>
              <w:jc w:val="both"/>
              <w:rPr>
                <w:rFonts w:ascii="Merriweather" w:eastAsia="Merriweather" w:hAnsi="Merriweather" w:cs="Merriweather"/>
                <w:color w:val="222222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FX-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დაინიშნება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შედეგების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გამოცხადებიდან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არანაკლებ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5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დღეში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მინიმალური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ზღვარი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განისაზღვრება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15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ქულით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. 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ემატება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ქულათა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რაოდენობა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აისახება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გამოცდაზე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გათვალისწინებით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კომპონენტის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საბოლოო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0-50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მიღების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ვევაში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სტუდენტს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უფორმდება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F-0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ქულა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შენიშვნა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შუალედური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დასკვნითი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ჩატარდება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ფორმალიზებული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წესით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C9421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ცალკეულ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კურსებში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შეფასების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კრიტერიუმები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განსაზღვრულია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სილაბუსით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დასაქმების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სფეროები</w:t>
            </w:r>
          </w:p>
        </w:tc>
      </w:tr>
      <w:tr w:rsidR="00013781">
        <w:trPr>
          <w:trHeight w:val="980"/>
        </w:trPr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0"/>
                <w:tab w:val="left" w:pos="1890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ბაკალავრის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დასაქმების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ობიექტებია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სააქციო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საზოგადოებები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შეზღუდული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პასუხისმგებლობის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საზოგადოებები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მეცხოველეობის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კომპლექსები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ფერმერული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მეურნეობები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მომსახურეობის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სადგურები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სერვისული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ცენტრები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კოოპერატივები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ტვირთგადამზ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იდავი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ფირმები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ავტოსატრანსპორტო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013781"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</w:tcPr>
          <w:p w:rsidR="00013781" w:rsidRDefault="00C94212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943734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სწავლისათვის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აუცილებელი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დამხმარე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პირობები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რესურსები</w:t>
            </w:r>
          </w:p>
        </w:tc>
      </w:tr>
      <w:tr w:rsidR="00013781">
        <w:trPr>
          <w:trHeight w:val="2780"/>
        </w:trPr>
        <w:tc>
          <w:tcPr>
            <w:tcW w:w="113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3781" w:rsidRDefault="00C94212">
            <w:pPr>
              <w:tabs>
                <w:tab w:val="left" w:pos="1335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მატერიელური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რესურსები</w:t>
            </w:r>
          </w:p>
          <w:p w:rsidR="00013781" w:rsidRDefault="00C94212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პროცესებისათვის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გამოიყენება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აკაკი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წერეთლის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სახელმწიფო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ბიბლიოთეკა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კომპიუტერული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ბაზები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ფაკულტეტის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აგროინჟინერიის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დეპარტამენტის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კაბინეტ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ლაბორატორიები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ინვენტარი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თვალსაჩინო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მასალები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ობიექ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ტები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შპს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მექანიზატორი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შპს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თეგეტა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მოტორსი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შპს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საქტრაქტორსერვისი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“.</w:t>
            </w:r>
          </w:p>
          <w:p w:rsidR="00013781" w:rsidRDefault="00C94212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ადამიანური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რესურსი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p w:rsidR="00013781" w:rsidRDefault="00C94212">
            <w:pPr>
              <w:spacing w:after="0" w:line="240" w:lineRule="auto"/>
              <w:ind w:firstLine="360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საგანმანათლებლო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უზრუნველყოფილია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მაღალკვალიფიციური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კადრებით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დისციპლინებს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უძღვებიან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შესაბამისი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პროფილის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ხარისხის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მქონე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56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2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17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ასოცირებული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1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ასისტენტ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პროფესორი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34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მასწავლებელი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2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მოწვეული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სპეციალისტი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რომელთაც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აქვთ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გამოცდილება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პედაგოგიური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საქმიანობის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პარალელურად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ეწევიან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ევით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პრაქტიკულ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მეთოდურ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მუშაობას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13781" w:rsidRDefault="00013781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013781" w:rsidRDefault="00C94212">
            <w:pPr>
              <w:tabs>
                <w:tab w:val="left" w:pos="1335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აკადემიური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პერსონალი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  <w:tbl>
            <w:tblPr>
              <w:tblStyle w:val="a1"/>
              <w:tblW w:w="109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"/>
              <w:gridCol w:w="2610"/>
              <w:gridCol w:w="1985"/>
              <w:gridCol w:w="1984"/>
              <w:gridCol w:w="3641"/>
            </w:tblGrid>
            <w:tr w:rsidR="00013781">
              <w:trPr>
                <w:trHeight w:val="18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ind w:left="-510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ადამიანური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რესურსი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ხარისხი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დაკავებული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თანამდებობა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სასწავლო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გეგმით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გათვალისწინებული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განსახორციელებელი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კურსები</w:t>
                  </w:r>
                </w:p>
              </w:tc>
            </w:tr>
            <w:tr w:rsidR="00013781">
              <w:trPr>
                <w:trHeight w:val="22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კილასონია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ემზარი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ind w:left="31" w:hanging="31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სამუშაო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ორგანოების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ცვეთაგამძლე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მასალები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ძალური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გადაცემები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ტრაქტორები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ავტომობილები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სასოფლო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საექსპლუატაციო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მასალები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სამთო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სუბტროპიკული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მიწათმოქმედ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მექანიზაცია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სასწავლო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სატრანსპორტო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საშუალებები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spacing w:after="0" w:line="240" w:lineRule="auto"/>
                    <w:ind w:left="31" w:hanging="31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</w:rPr>
                    <w:t>ლითონთა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</w:rPr>
                    <w:t>ტექნოლოგია</w:t>
                  </w: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;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თავბერიძე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სოსო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2717"/>
                      <w:tab w:val="center" w:pos="3847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კონსტრუქციების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საინჟინრო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გაანგარიშების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მეთოდები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მეტროლოგია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ურთიერთშეცვლადობა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სერვისში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ჰიდრავლიკური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ექსპლუატაცია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მანქანათა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ექსპლუატ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მანქანების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საიმედოობა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რემონტი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tabs>
                      <w:tab w:val="left" w:pos="2717"/>
                      <w:tab w:val="center" w:pos="3847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</w:rPr>
                    <w:t>აგროსაინჟინრო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სერვისი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.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კბილაშვილი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დავითი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თეორიული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მექანიკა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ჰიდრავლიკური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-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ტვირთების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გადაზიდვების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საინფორმაციო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lastRenderedPageBreak/>
                    <w:t>უზრუნველყოფა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მონიტორინგი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სასაწყობო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სასწავლო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სატრანსპორტო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ინფრასტრუქტურა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წიქორიძე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მამუკა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აკადემირი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აგროსაინჟინრო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მანქანებისა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მექანიზმების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ანალიზი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სინთეზი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მანქანები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სამელიორაციო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სამშენებლო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მანქანები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მცირე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მექანიზაციის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საშუალებები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ციბაძე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ზურაბი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ელექტროენერგიის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გამოყენება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მეურნეობაში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მეცხოველეობის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ფერმების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მექანიზაცია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</w:p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ძალური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აგრეგატების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ელექტროამძრავები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თევზაძე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მავრა</w:t>
                  </w:r>
                  <w:proofErr w:type="spellEnd"/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დატვირთვა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-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განტვირთვის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სამუშაოთა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ორგანიზაცია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ლოჯისტიკური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ექსპედირების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სასწავლო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სატრანსპორტო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პროცესების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რეგულაციის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ლოსაბერიძე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გელა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ind w:right="-9" w:firstLine="31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მეტროლოგია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დაურთიერთშეცვლადობა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სერვისში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ტვირთების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გადაზიდვები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ლოჯისტიკური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სისტემები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ეკონომიკურ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ტერიტორიაზე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საქონლის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გადაადგილება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ჩხარტიშვილი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ზაზა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ტვირთმცოდნეობა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ტვირთების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გადაზიდვების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უსაფრთხოება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სასწავლო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პრაქტიკა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ებანოიძე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იასონი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აგროინჟინერიის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საინჟინრო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გრაფიკა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კომპიუტერულ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ხაზვა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სასოფლო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სამეურნეო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კონსტრუქციების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საინჟინრო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გაანგარიშების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მეთოდები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გოგიშვილი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ნანა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ტექნოლოგიების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შრომის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დაცვა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უსაფრთხოება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სასურსათო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პროდუქტთა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საწარმოების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ტექნოლოგიური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მოწყობილობები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თვალოძე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იური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აკადენიური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უმაღლესი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მათემატიკა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-1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უმაღლესი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მათემატიკა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-2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კვანტალიანი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ინგა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ფიზიკა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მათემატიკის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მოწვეული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სპეციალისტი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  <w:t>ფიზიკა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ლორთქიფანიძე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როზა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ნიადაგთმცოდნეობა</w:t>
                  </w:r>
                  <w:proofErr w:type="spellEnd"/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ავალიშვილი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ნიადაგთმცოდნეობა</w:t>
                  </w:r>
                  <w:proofErr w:type="spellEnd"/>
                </w:p>
                <w:p w:rsidR="00013781" w:rsidRDefault="00013781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ბანძელაძე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ფილოსოფიის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ფილოსოფია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კუცია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მარინა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ეკოლოგია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გარემოს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დაცვის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საფუძვლები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თაბაგარი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მარიეტა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</w:rPr>
                    <w:t>აგრონომიის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საფუძვლები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  </w:t>
                  </w:r>
                </w:p>
              </w:tc>
            </w:tr>
            <w:tr w:rsidR="00013781">
              <w:trPr>
                <w:trHeight w:val="48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კოპალიანი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ლია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მეცხოველეობა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სამკურნალო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მცენარეები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თოდუა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ხათუნა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ეკონომიკის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ასოცირებული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</w:rPr>
                  </w:pPr>
                  <w:r>
                    <w:rPr>
                      <w:rFonts w:ascii="Arial Unicode MS" w:eastAsia="Arial Unicode MS" w:hAnsi="Arial Unicode MS" w:cs="Arial Unicode MS"/>
                    </w:rPr>
                    <w:t>სოფლის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მეურნეობის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ეკონომიკა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;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მიკროეკონომიკა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მაკროეკონომიკა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შორენა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კაპანაძე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აგრარულ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მეცნიერებათა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ასისტენტ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მეცხოველეობა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;</w:t>
                  </w:r>
                </w:p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სამკურნალო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მცენარეები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მჭედლიძე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მაკა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წერა</w:t>
                  </w:r>
                </w:p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ფხაკაძე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ასოც</w:t>
                  </w:r>
                  <w:r>
                    <w:rPr>
                      <w:sz w:val="20"/>
                      <w:szCs w:val="20"/>
                    </w:rPr>
                    <w:t>ირებული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წერა</w:t>
                  </w:r>
                </w:p>
                <w:p w:rsidR="00013781" w:rsidRDefault="00013781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ნათელა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ლომიძე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ინფორმატიკა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ლომიძე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ინფორმატიკა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შაკაია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013781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ინფორმატიკა</w:t>
                  </w:r>
                </w:p>
              </w:tc>
            </w:tr>
            <w:tr w:rsidR="00013781">
              <w:trPr>
                <w:trHeight w:val="500"/>
                <w:jc w:val="center"/>
              </w:trPr>
              <w:tc>
                <w:tcPr>
                  <w:tcW w:w="71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610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კუპრაშვილი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სულხანი</w:t>
                  </w:r>
                </w:p>
              </w:tc>
              <w:tc>
                <w:tcPr>
                  <w:tcW w:w="1985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აკადემიური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984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პროფესორი</w:t>
                  </w:r>
                </w:p>
              </w:tc>
              <w:tc>
                <w:tcPr>
                  <w:tcW w:w="3641" w:type="dxa"/>
                  <w:vAlign w:val="center"/>
                </w:tcPr>
                <w:p w:rsidR="00013781" w:rsidRDefault="00C94212">
                  <w:pPr>
                    <w:tabs>
                      <w:tab w:val="left" w:pos="1335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საქართველოს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ისტორია</w:t>
                  </w:r>
                </w:p>
              </w:tc>
            </w:tr>
          </w:tbl>
          <w:p w:rsidR="00013781" w:rsidRDefault="00013781">
            <w:pPr>
              <w:tabs>
                <w:tab w:val="left" w:pos="133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013781" w:rsidRDefault="00013781">
            <w:pPr>
              <w:tabs>
                <w:tab w:val="left" w:pos="133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tbl>
            <w:tblPr>
              <w:tblStyle w:val="a2"/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2040"/>
              <w:gridCol w:w="2177"/>
              <w:gridCol w:w="1701"/>
              <w:gridCol w:w="4241"/>
            </w:tblGrid>
            <w:tr w:rsidR="00013781">
              <w:trPr>
                <w:trHeight w:val="620"/>
              </w:trPr>
              <w:tc>
                <w:tcPr>
                  <w:tcW w:w="10627" w:type="dxa"/>
                  <w:gridSpan w:val="5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>უცხო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>ენები</w:t>
                  </w:r>
                </w:p>
              </w:tc>
            </w:tr>
            <w:tr w:rsidR="00013781">
              <w:trPr>
                <w:trHeight w:val="22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ძნელაძე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2177" w:type="dxa"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 w:val="restart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გერმანული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62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ჟორჟოლიანი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0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პაპავა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მანანა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კუჭუხიძე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მარინე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 w:val="restart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62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დემეტრაძე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დარეჯანი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ნიქაბაძე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დალი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8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ირემაძე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8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40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მებურიშვილი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თინათინი</w:t>
                  </w:r>
                </w:p>
              </w:tc>
              <w:tc>
                <w:tcPr>
                  <w:tcW w:w="2177" w:type="dxa"/>
                  <w:tcBorders>
                    <w:bottom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2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ფიფია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013781" w:rsidRDefault="00013781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 w:val="restart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ინგლისური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0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თავიდაშვილი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ნინო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ონიანი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ლელა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გრიგალაშვილი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ბაბუხადია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მარიამი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აბესაძე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გაბადაძე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ბერეკაშვილი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ელენე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მარდალეიშვილი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თამარი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გიორგაძე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ობოლაძე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ლიდა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6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ნაჭყეპია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8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დაშნიანი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თეა</w:t>
                  </w:r>
                </w:p>
                <w:p w:rsidR="00013781" w:rsidRDefault="00013781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 w:val="restart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რუსული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2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ზაუტაშვილი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დალი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4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სოფრომაძე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ქეთევანი</w:t>
                  </w: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62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ფარქოსაძე</w:t>
                  </w:r>
                </w:p>
                <w:p w:rsidR="00013781" w:rsidRDefault="00013781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620"/>
              </w:trPr>
              <w:tc>
                <w:tcPr>
                  <w:tcW w:w="468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კოსტავა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მზია</w:t>
                  </w:r>
                </w:p>
                <w:p w:rsidR="00013781" w:rsidRDefault="00013781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პედაგოგიკის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340"/>
              </w:trPr>
              <w:tc>
                <w:tcPr>
                  <w:tcW w:w="468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აფრიდონიძე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ანა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</w:p>
                <w:p w:rsidR="00013781" w:rsidRDefault="00013781">
                  <w:pPr>
                    <w:spacing w:after="0" w:line="240" w:lineRule="auto"/>
                    <w:jc w:val="both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ფილოლოგიის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დოქტორი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 w:val="restart"/>
                  <w:tcBorders>
                    <w:top w:val="single" w:sz="12" w:space="0" w:color="000000"/>
                  </w:tcBorders>
                </w:tcPr>
                <w:p w:rsidR="00013781" w:rsidRDefault="00C94212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ფრანგული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>ენა</w:t>
                  </w:r>
                </w:p>
                <w:p w:rsidR="00013781" w:rsidRDefault="00013781">
                  <w:pPr>
                    <w:spacing w:after="0" w:line="240" w:lineRule="auto"/>
                    <w:jc w:val="center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52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ხვედელიზე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ნესტანი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40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ოქროპირაშვილი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მაია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8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კორიფაძე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ფუჩქი</w:t>
                  </w:r>
                  <w:proofErr w:type="spellEnd"/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  <w:tr w:rsidR="00013781">
              <w:trPr>
                <w:trHeight w:val="280"/>
              </w:trPr>
              <w:tc>
                <w:tcPr>
                  <w:tcW w:w="468" w:type="dxa"/>
                </w:tcPr>
                <w:p w:rsidR="00013781" w:rsidRDefault="00C94212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  <w:r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40" w:type="dxa"/>
                </w:tcPr>
                <w:p w:rsidR="00013781" w:rsidRDefault="00C94212">
                  <w:pPr>
                    <w:tabs>
                      <w:tab w:val="left" w:pos="7140"/>
                    </w:tabs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ლორთქიფანიძე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თ</w:t>
                  </w: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77" w:type="dxa"/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013781" w:rsidRDefault="00C94212">
                  <w:pPr>
                    <w:spacing w:after="0" w:line="240" w:lineRule="auto"/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მასწავლებელი</w:t>
                  </w:r>
                </w:p>
              </w:tc>
              <w:tc>
                <w:tcPr>
                  <w:tcW w:w="4241" w:type="dxa"/>
                  <w:vMerge/>
                  <w:tcBorders>
                    <w:top w:val="single" w:sz="12" w:space="0" w:color="000000"/>
                  </w:tcBorders>
                </w:tcPr>
                <w:p w:rsidR="00013781" w:rsidRDefault="00013781">
                  <w:pPr>
                    <w:spacing w:after="0" w:line="240" w:lineRule="auto"/>
                    <w:rPr>
                      <w:rFonts w:ascii="Merriweather" w:eastAsia="Merriweather" w:hAnsi="Merriweather" w:cs="Merriweather"/>
                      <w:sz w:val="20"/>
                      <w:szCs w:val="20"/>
                    </w:rPr>
                  </w:pPr>
                </w:p>
              </w:tc>
            </w:tr>
          </w:tbl>
          <w:p w:rsidR="00013781" w:rsidRDefault="00013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tbl>
            <w:tblPr>
              <w:tblStyle w:val="a3"/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91"/>
              <w:gridCol w:w="2836"/>
            </w:tblGrid>
            <w:tr w:rsidR="00013781">
              <w:trPr>
                <w:trHeight w:val="540"/>
              </w:trPr>
              <w:tc>
                <w:tcPr>
                  <w:tcW w:w="7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013781" w:rsidRDefault="00013781">
                  <w:pPr>
                    <w:jc w:val="both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013781" w:rsidRDefault="00013781">
                  <w:pPr>
                    <w:jc w:val="both"/>
                    <w:rPr>
                      <w:rFonts w:ascii="Merriweather" w:eastAsia="Merriweather" w:hAnsi="Merriweather" w:cs="Merriweather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013781" w:rsidRDefault="00013781">
            <w:pPr>
              <w:tabs>
                <w:tab w:val="left" w:pos="133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13781"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13781" w:rsidRDefault="0001378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u w:val="single"/>
              </w:rPr>
            </w:pPr>
          </w:p>
        </w:tc>
      </w:tr>
    </w:tbl>
    <w:p w:rsidR="00013781" w:rsidRDefault="00013781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spacing w:after="0" w:line="240" w:lineRule="auto"/>
        <w:rPr>
          <w:b/>
        </w:rPr>
      </w:pPr>
    </w:p>
    <w:p w:rsidR="00013781" w:rsidRDefault="00013781">
      <w:pPr>
        <w:rPr>
          <w:rFonts w:ascii="Merriweather" w:eastAsia="Merriweather" w:hAnsi="Merriweather" w:cs="Merriweather"/>
          <w:b/>
        </w:rPr>
        <w:sectPr w:rsidR="00013781">
          <w:footerReference w:type="even" r:id="rId8"/>
          <w:footerReference w:type="default" r:id="rId9"/>
          <w:pgSz w:w="12240" w:h="15840"/>
          <w:pgMar w:top="0" w:right="900" w:bottom="0" w:left="1134" w:header="720" w:footer="720" w:gutter="0"/>
          <w:pgNumType w:start="1"/>
          <w:cols w:space="720"/>
        </w:sect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013781">
      <w:pPr>
        <w:spacing w:after="60"/>
        <w:jc w:val="center"/>
        <w:rPr>
          <w:rFonts w:ascii="Merriweather" w:eastAsia="Merriweather" w:hAnsi="Merriweather" w:cs="Merriweather"/>
          <w:b/>
        </w:rPr>
      </w:pPr>
    </w:p>
    <w:p w:rsidR="00013781" w:rsidRDefault="00C94212">
      <w:pPr>
        <w:spacing w:after="0"/>
        <w:jc w:val="right"/>
        <w:rPr>
          <w:rFonts w:ascii="Merriweather" w:eastAsia="Merriweather" w:hAnsi="Merriweather" w:cs="Merriweather"/>
          <w:b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</w:rPr>
        <w:t>დანართი</w:t>
      </w:r>
      <w:r>
        <w:rPr>
          <w:rFonts w:ascii="Arial Unicode MS" w:eastAsia="Arial Unicode MS" w:hAnsi="Arial Unicode MS" w:cs="Arial Unicode MS"/>
          <w:b/>
        </w:rPr>
        <w:t xml:space="preserve"> 2.</w:t>
      </w:r>
    </w:p>
    <w:p w:rsidR="00013781" w:rsidRDefault="00013781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5"/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3454"/>
        <w:gridCol w:w="727"/>
        <w:gridCol w:w="1090"/>
        <w:gridCol w:w="909"/>
        <w:gridCol w:w="909"/>
        <w:gridCol w:w="909"/>
        <w:gridCol w:w="1015"/>
      </w:tblGrid>
      <w:tr w:rsidR="00013781">
        <w:trPr>
          <w:trHeight w:val="700"/>
          <w:jc w:val="center"/>
        </w:trPr>
        <w:tc>
          <w:tcPr>
            <w:tcW w:w="727" w:type="dxa"/>
            <w:vMerge w:val="restart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54" w:type="dxa"/>
            <w:vMerge w:val="restart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კურსის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დასახელება</w:t>
            </w:r>
          </w:p>
        </w:tc>
        <w:tc>
          <w:tcPr>
            <w:tcW w:w="5559" w:type="dxa"/>
            <w:gridSpan w:val="6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გასავითარებელი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კომპეტენციები</w:t>
            </w:r>
          </w:p>
        </w:tc>
      </w:tr>
      <w:tr w:rsidR="00013781">
        <w:trPr>
          <w:trHeight w:val="1540"/>
          <w:jc w:val="center"/>
        </w:trPr>
        <w:tc>
          <w:tcPr>
            <w:tcW w:w="727" w:type="dxa"/>
            <w:vMerge/>
            <w:vAlign w:val="center"/>
          </w:tcPr>
          <w:p w:rsidR="00013781" w:rsidRDefault="00013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54" w:type="dxa"/>
            <w:vMerge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b/>
              </w:rPr>
            </w:pPr>
          </w:p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ცოდნა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გაცნობიერება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ცოდნის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პრაქტიკაში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გამოყენების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დასკვნის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კომუნიკაციის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909" w:type="dxa"/>
            <w:tcBorders>
              <w:top w:val="nil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სწავლის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უნარი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ind w:left="113" w:right="113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ღირებულებები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უმაღლესი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მათემატიკა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უმაღლესი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მათემატიკა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1 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2(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  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ძირითადი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ინფორმატიკა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0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აკადემიური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წერა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ფიზიკა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საინჟინრო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გრაფიკა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კომპიუტერული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ხაზვა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ნიადაგმცოდნეობა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აგროინჟინერიის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შრომის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დაცვა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უსაფრთხოება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თეორიული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–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სამუშაო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ორგანოების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ცვეთაგამძლე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მასალები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კონსტრუქციების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საინჟინრო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გაანგარიშების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მეთოპდები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აგროსაინჟინრო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მექანიზმების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ანალიზი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სინთეზი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მეტროლოგია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ურთიერთშეცვლადობა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სერვისში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lastRenderedPageBreak/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ჰიდრავლიკური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სისტემები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ძალური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გადაცემები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ექსპლუატაცია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ტრაქტორები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ავტომობილები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ელექტროენერგიის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გამოყენება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მეურნეობაში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სამელიორაციო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სამშენებლო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საექსპლუატაციო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მასალები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მეცხოველეობის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ფერმების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მექანიზაცია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სამთო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სუბტროპიკული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მიწათმოქმედების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მექანიზაცია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მცირე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მექანიზაციის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საშუალებები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მანქანათა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ექსპლუატაცია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საიმედოობა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რემონტი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პრაქტიკა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პრაქტიკა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ტვირთები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საშუალებები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დატვირთვა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განტვირთვის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სამუშაოების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ორგანიზაცია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jc w:val="center"/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jc w:val="center"/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ტვირთვების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გადაზიდვები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უზრუნველყოფა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მონიტორინგი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39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ლოჯისტიკის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ექსპედირების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სასაწყობო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სისტემები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ტვირთების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გადაზიდვების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უსაფრთხოება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lastRenderedPageBreak/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ეკონომიკურ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ტერიტორიაზე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საქონლის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გადაადგილება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სასწავლო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პრაქტიკა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პრაქტიკა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22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საქართველოს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ისტორია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ფილოსოფია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ეკოლოგია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გარემოს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დაცვის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49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ძალური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აგრეგატების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ელექტრო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ამძრავები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ფუნქციონირება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მეცხოველეობა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აგრონომიის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1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სამკურნალო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მცენარეები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ლითონთა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ტექნოლოგია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ინფრასტრუქტურა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ეკონომიკა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მიკროეკონომიკა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მაკროეკონომიკა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სასურსათო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პროდუქტების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წარმოების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ტექნოლოგიური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მოწყობილობები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2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აგროსაინჟინრო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სერვისი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2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სატრანსპორტო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პროცესების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რეგულაციის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საფუძვლები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lastRenderedPageBreak/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200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63</w:t>
            </w:r>
          </w:p>
        </w:tc>
        <w:tc>
          <w:tcPr>
            <w:tcW w:w="3454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უცხო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360"/>
          <w:jc w:val="center"/>
        </w:trPr>
        <w:tc>
          <w:tcPr>
            <w:tcW w:w="727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64</w:t>
            </w:r>
          </w:p>
        </w:tc>
        <w:tc>
          <w:tcPr>
            <w:tcW w:w="3454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მეურნეობის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ენერგეტიკული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საშუალებები</w:t>
            </w:r>
          </w:p>
        </w:tc>
        <w:tc>
          <w:tcPr>
            <w:tcW w:w="727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tcBorders>
              <w:top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საშუალებები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საგზაო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სამშენებლო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მებაღეობის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მექანიზაციის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საშუალებები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ელექტროამძრავი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მისი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ავტომატური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მართვა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სოფლის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მეურნეობაში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20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69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ტრიბოტექნიკა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70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ექსპლუატაცია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2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71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მანქანების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სერვისი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</w:tr>
      <w:tr w:rsidR="00013781">
        <w:trPr>
          <w:trHeight w:val="42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72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ტექნიკური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სერვისის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საწარმოთა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უსაფრთხოება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013781">
        <w:trPr>
          <w:trHeight w:val="30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73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სისტემები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74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სასოფლო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სამეურნეო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ნედლეულის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შენახვა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გადამუშავება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75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სისტემების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საინფორმაციო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უზრუნველყოფა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76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ტრანსპორტირება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მიწოდება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–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განაწილების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ლოჯისტიკურ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ჯაჭვში</w:t>
            </w:r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34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77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მომარაგებისა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განაწილების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ლოჯისტიკა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260"/>
          <w:jc w:val="center"/>
        </w:trPr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78</w:t>
            </w:r>
          </w:p>
        </w:tc>
        <w:tc>
          <w:tcPr>
            <w:tcW w:w="3454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საწარმოო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ლოჯისტიკა</w:t>
            </w:r>
            <w:proofErr w:type="spellEnd"/>
          </w:p>
        </w:tc>
        <w:tc>
          <w:tcPr>
            <w:tcW w:w="727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79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სასაწყობო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მეურნეობები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მარაგების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მართვა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4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80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აგროლოჯისტიკური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ცენტრების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ორგანიზაცია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მართვა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2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81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მარკეტინგული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ლოჯისტიკა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  <w:tr w:rsidR="00013781">
        <w:trPr>
          <w:trHeight w:val="2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82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rPr>
                <w:rFonts w:ascii="Merriweather" w:eastAsia="Merriweather" w:hAnsi="Merriweather" w:cs="Merriweather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ექსპედირების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საფუძვლები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პორტალი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და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სასაქონლო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ოპერაციები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C94212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</w:rPr>
              <w:t>x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781" w:rsidRDefault="00013781">
            <w:pPr>
              <w:tabs>
                <w:tab w:val="left" w:pos="1305"/>
              </w:tabs>
              <w:spacing w:after="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</w:tr>
    </w:tbl>
    <w:p w:rsidR="00013781" w:rsidRDefault="00013781">
      <w:pPr>
        <w:rPr>
          <w:b/>
        </w:rPr>
      </w:pPr>
    </w:p>
    <w:sectPr w:rsidR="00013781">
      <w:type w:val="continuous"/>
      <w:pgSz w:w="12240" w:h="15840"/>
      <w:pgMar w:top="0" w:right="900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12" w:rsidRDefault="00C94212">
      <w:pPr>
        <w:spacing w:after="0" w:line="240" w:lineRule="auto"/>
      </w:pPr>
      <w:r>
        <w:separator/>
      </w:r>
    </w:p>
  </w:endnote>
  <w:endnote w:type="continuationSeparator" w:id="0">
    <w:p w:rsidR="00C94212" w:rsidRDefault="00C9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81" w:rsidRDefault="00C9421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13781" w:rsidRDefault="0001378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81" w:rsidRDefault="00C9421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D5BAF">
      <w:rPr>
        <w:color w:val="000000"/>
      </w:rPr>
      <w:fldChar w:fldCharType="separate"/>
    </w:r>
    <w:r w:rsidR="007D5BAF">
      <w:rPr>
        <w:noProof/>
        <w:color w:val="000000"/>
      </w:rPr>
      <w:t>1</w:t>
    </w:r>
    <w:r>
      <w:rPr>
        <w:color w:val="000000"/>
      </w:rPr>
      <w:fldChar w:fldCharType="end"/>
    </w:r>
  </w:p>
  <w:p w:rsidR="00013781" w:rsidRDefault="0001378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12" w:rsidRDefault="00C94212">
      <w:pPr>
        <w:spacing w:after="0" w:line="240" w:lineRule="auto"/>
      </w:pPr>
      <w:r>
        <w:separator/>
      </w:r>
    </w:p>
  </w:footnote>
  <w:footnote w:type="continuationSeparator" w:id="0">
    <w:p w:rsidR="00C94212" w:rsidRDefault="00C94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781"/>
    <w:rsid w:val="00013781"/>
    <w:rsid w:val="007D5BAF"/>
    <w:rsid w:val="00C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29C0"/>
  <w15:docId w15:val="{728694E4-99D6-4D93-8FD0-75B3FF9A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" w:eastAsia="Times" w:hAnsi="Times" w:cs="Times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mzari.kilasonia@atsu.edu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3380</Words>
  <Characters>19268</Characters>
  <Application>Microsoft Office Word</Application>
  <DocSecurity>0</DocSecurity>
  <Lines>160</Lines>
  <Paragraphs>45</Paragraphs>
  <ScaleCrop>false</ScaleCrop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Goga Gorelishvili</cp:lastModifiedBy>
  <cp:revision>2</cp:revision>
  <dcterms:created xsi:type="dcterms:W3CDTF">2018-07-07T09:44:00Z</dcterms:created>
  <dcterms:modified xsi:type="dcterms:W3CDTF">2018-07-07T09:46:00Z</dcterms:modified>
</cp:coreProperties>
</file>